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78C" w:rsidRDefault="003C178C">
      <w:pPr>
        <w:rPr>
          <w:b/>
        </w:rPr>
      </w:pPr>
    </w:p>
    <w:p w:rsidR="003C178C" w:rsidRDefault="003C178C">
      <w:pPr>
        <w:rPr>
          <w:b/>
        </w:rPr>
      </w:pPr>
    </w:p>
    <w:p w:rsidR="003C178C" w:rsidRDefault="003C178C">
      <w:pPr>
        <w:rPr>
          <w:b/>
        </w:rPr>
      </w:pPr>
    </w:p>
    <w:p w:rsidR="003C178C" w:rsidRDefault="003C178C">
      <w:pPr>
        <w:rPr>
          <w:b/>
        </w:rPr>
      </w:pPr>
    </w:p>
    <w:p w:rsidR="006B22BA" w:rsidRPr="009B2AFE" w:rsidRDefault="009B2AFE">
      <w:pPr>
        <w:rPr>
          <w:b/>
        </w:rPr>
      </w:pPr>
      <w:r w:rsidRPr="009B2AFE">
        <w:rPr>
          <w:b/>
        </w:rPr>
        <w:t>Prilog 1</w:t>
      </w:r>
    </w:p>
    <w:p w:rsidR="009B2AFE" w:rsidRPr="009B2AFE" w:rsidRDefault="009B2AFE" w:rsidP="00E903B9">
      <w:pPr>
        <w:spacing w:after="0"/>
        <w:jc w:val="center"/>
        <w:rPr>
          <w:rFonts w:ascii="Arial" w:hAnsi="Arial" w:cs="Arial"/>
          <w:b/>
          <w:sz w:val="28"/>
          <w:szCs w:val="28"/>
        </w:rPr>
      </w:pPr>
      <w:r w:rsidRPr="009B2AFE">
        <w:rPr>
          <w:rFonts w:ascii="Arial" w:hAnsi="Arial" w:cs="Arial"/>
          <w:b/>
          <w:sz w:val="28"/>
          <w:szCs w:val="28"/>
        </w:rPr>
        <w:t>GRAD ZADAR – Upravni odjel za komunalne djelatnosti i zaštitu okoliša</w:t>
      </w:r>
    </w:p>
    <w:p w:rsidR="009B2AFE" w:rsidRPr="009B2AFE" w:rsidRDefault="009B2AFE" w:rsidP="009B2AFE">
      <w:pPr>
        <w:jc w:val="center"/>
        <w:rPr>
          <w:rFonts w:ascii="Arial" w:hAnsi="Arial" w:cs="Arial"/>
          <w:b/>
          <w:sz w:val="24"/>
          <w:szCs w:val="24"/>
        </w:rPr>
      </w:pPr>
    </w:p>
    <w:p w:rsidR="00E903B9" w:rsidRDefault="009B2AFE" w:rsidP="000E7302">
      <w:pPr>
        <w:spacing w:after="0"/>
        <w:jc w:val="center"/>
        <w:rPr>
          <w:rFonts w:ascii="Arial" w:hAnsi="Arial" w:cs="Arial"/>
          <w:b/>
          <w:sz w:val="24"/>
          <w:szCs w:val="24"/>
        </w:rPr>
      </w:pPr>
      <w:r w:rsidRPr="009B2AFE">
        <w:rPr>
          <w:rFonts w:ascii="Arial" w:hAnsi="Arial" w:cs="Arial"/>
          <w:b/>
          <w:sz w:val="24"/>
          <w:szCs w:val="24"/>
        </w:rPr>
        <w:t xml:space="preserve">Izvješće o provedenom savjetovanju sa zainteresiranom javnošću o </w:t>
      </w:r>
    </w:p>
    <w:p w:rsidR="009B2AFE" w:rsidRDefault="009B2AFE" w:rsidP="009B2AFE">
      <w:pPr>
        <w:jc w:val="center"/>
        <w:rPr>
          <w:rFonts w:ascii="Arial" w:hAnsi="Arial" w:cs="Arial"/>
          <w:b/>
          <w:sz w:val="24"/>
          <w:szCs w:val="24"/>
        </w:rPr>
      </w:pPr>
      <w:r w:rsidRPr="009B2AFE">
        <w:rPr>
          <w:rFonts w:ascii="Arial" w:hAnsi="Arial" w:cs="Arial"/>
          <w:b/>
          <w:sz w:val="24"/>
          <w:szCs w:val="24"/>
        </w:rPr>
        <w:t>Nacrtu Odluke o načinu pružanja javne usluge sakupljanja komunalnog otpada na području Grada Zadra</w:t>
      </w:r>
    </w:p>
    <w:tbl>
      <w:tblPr>
        <w:tblStyle w:val="TableGrid"/>
        <w:tblW w:w="15027" w:type="dxa"/>
        <w:tblInd w:w="-431" w:type="dxa"/>
        <w:tblLayout w:type="fixed"/>
        <w:tblLook w:val="04A0" w:firstRow="1" w:lastRow="0" w:firstColumn="1" w:lastColumn="0" w:noHBand="0" w:noVBand="1"/>
      </w:tblPr>
      <w:tblGrid>
        <w:gridCol w:w="568"/>
        <w:gridCol w:w="992"/>
        <w:gridCol w:w="7513"/>
        <w:gridCol w:w="1276"/>
        <w:gridCol w:w="4678"/>
      </w:tblGrid>
      <w:tr w:rsidR="009B2AFE" w:rsidTr="00E903B9">
        <w:tc>
          <w:tcPr>
            <w:tcW w:w="568" w:type="dxa"/>
            <w:vAlign w:val="center"/>
          </w:tcPr>
          <w:p w:rsidR="009B2AFE" w:rsidRPr="009B2AFE" w:rsidRDefault="009B2AFE" w:rsidP="009B2AFE">
            <w:pPr>
              <w:jc w:val="center"/>
              <w:rPr>
                <w:rFonts w:ascii="Arial" w:hAnsi="Arial" w:cs="Arial"/>
                <w:b/>
              </w:rPr>
            </w:pPr>
            <w:r w:rsidRPr="009B2AFE">
              <w:rPr>
                <w:rFonts w:ascii="Arial" w:hAnsi="Arial" w:cs="Arial"/>
                <w:b/>
              </w:rPr>
              <w:t>Br.</w:t>
            </w:r>
          </w:p>
        </w:tc>
        <w:tc>
          <w:tcPr>
            <w:tcW w:w="992" w:type="dxa"/>
            <w:vAlign w:val="center"/>
          </w:tcPr>
          <w:p w:rsidR="009B2AFE" w:rsidRPr="009B2AFE" w:rsidRDefault="009B2AFE" w:rsidP="009B2AFE">
            <w:pPr>
              <w:jc w:val="center"/>
              <w:rPr>
                <w:rFonts w:ascii="Arial" w:hAnsi="Arial" w:cs="Arial"/>
                <w:b/>
              </w:rPr>
            </w:pPr>
            <w:r w:rsidRPr="009B2AFE">
              <w:rPr>
                <w:rFonts w:ascii="Arial" w:hAnsi="Arial" w:cs="Arial"/>
                <w:b/>
              </w:rPr>
              <w:t>Naziv sudionika</w:t>
            </w:r>
          </w:p>
        </w:tc>
        <w:tc>
          <w:tcPr>
            <w:tcW w:w="7513" w:type="dxa"/>
            <w:vAlign w:val="center"/>
          </w:tcPr>
          <w:p w:rsidR="009B2AFE" w:rsidRPr="009B2AFE" w:rsidRDefault="00A80023" w:rsidP="009B2AFE">
            <w:pPr>
              <w:jc w:val="center"/>
              <w:rPr>
                <w:rFonts w:ascii="Arial" w:hAnsi="Arial" w:cs="Arial"/>
                <w:b/>
              </w:rPr>
            </w:pPr>
            <w:r>
              <w:rPr>
                <w:rFonts w:ascii="Arial" w:hAnsi="Arial" w:cs="Arial"/>
                <w:b/>
              </w:rPr>
              <w:t>P</w:t>
            </w:r>
            <w:r w:rsidR="009B2AFE" w:rsidRPr="009B2AFE">
              <w:rPr>
                <w:rFonts w:ascii="Arial" w:hAnsi="Arial" w:cs="Arial"/>
                <w:b/>
              </w:rPr>
              <w:t>rimjedbe/prijedlozi na predloženi nacrt</w:t>
            </w:r>
          </w:p>
        </w:tc>
        <w:tc>
          <w:tcPr>
            <w:tcW w:w="1276" w:type="dxa"/>
            <w:vAlign w:val="center"/>
          </w:tcPr>
          <w:p w:rsidR="009B2AFE" w:rsidRPr="009B2AFE" w:rsidRDefault="009B2AFE" w:rsidP="009B2AFE">
            <w:pPr>
              <w:jc w:val="center"/>
              <w:rPr>
                <w:rFonts w:ascii="Arial" w:hAnsi="Arial" w:cs="Arial"/>
                <w:b/>
              </w:rPr>
            </w:pPr>
            <w:r w:rsidRPr="009B2AFE">
              <w:rPr>
                <w:rFonts w:ascii="Arial" w:hAnsi="Arial" w:cs="Arial"/>
                <w:b/>
              </w:rPr>
              <w:t>Status odgovora</w:t>
            </w:r>
          </w:p>
        </w:tc>
        <w:tc>
          <w:tcPr>
            <w:tcW w:w="4678" w:type="dxa"/>
            <w:vAlign w:val="center"/>
          </w:tcPr>
          <w:p w:rsidR="009B2AFE" w:rsidRPr="009B2AFE" w:rsidRDefault="009B2AFE" w:rsidP="009B2AFE">
            <w:pPr>
              <w:jc w:val="center"/>
              <w:rPr>
                <w:rFonts w:ascii="Arial" w:hAnsi="Arial" w:cs="Arial"/>
                <w:b/>
              </w:rPr>
            </w:pPr>
            <w:r w:rsidRPr="009B2AFE">
              <w:rPr>
                <w:rFonts w:ascii="Arial" w:hAnsi="Arial" w:cs="Arial"/>
                <w:b/>
              </w:rPr>
              <w:t>Odgovor</w:t>
            </w:r>
          </w:p>
        </w:tc>
      </w:tr>
      <w:tr w:rsidR="009B2AFE" w:rsidTr="00E903B9">
        <w:tc>
          <w:tcPr>
            <w:tcW w:w="568" w:type="dxa"/>
            <w:vAlign w:val="center"/>
          </w:tcPr>
          <w:p w:rsidR="009B2AFE" w:rsidRPr="009B2AFE" w:rsidRDefault="009B2AFE" w:rsidP="009B2AFE">
            <w:pPr>
              <w:jc w:val="center"/>
              <w:rPr>
                <w:rFonts w:ascii="Arial" w:hAnsi="Arial" w:cs="Arial"/>
              </w:rPr>
            </w:pPr>
            <w:r w:rsidRPr="009B2AFE">
              <w:rPr>
                <w:rFonts w:ascii="Arial" w:hAnsi="Arial" w:cs="Arial"/>
              </w:rPr>
              <w:t xml:space="preserve">1. </w:t>
            </w:r>
          </w:p>
        </w:tc>
        <w:tc>
          <w:tcPr>
            <w:tcW w:w="992" w:type="dxa"/>
            <w:vAlign w:val="center"/>
          </w:tcPr>
          <w:p w:rsidR="009B2AFE" w:rsidRDefault="009B2AFE" w:rsidP="009B2AFE">
            <w:pPr>
              <w:jc w:val="center"/>
              <w:rPr>
                <w:rFonts w:ascii="Arial" w:hAnsi="Arial" w:cs="Arial"/>
              </w:rPr>
            </w:pPr>
            <w:r w:rsidRPr="009B2AFE">
              <w:rPr>
                <w:rFonts w:ascii="Arial" w:hAnsi="Arial" w:cs="Arial"/>
              </w:rPr>
              <w:t>Čistoća d.o.o.</w:t>
            </w:r>
            <w:r>
              <w:rPr>
                <w:rFonts w:ascii="Arial" w:hAnsi="Arial" w:cs="Arial"/>
              </w:rPr>
              <w:t>,</w:t>
            </w:r>
          </w:p>
          <w:p w:rsidR="009B2AFE" w:rsidRPr="009B2AFE" w:rsidRDefault="009B2AFE" w:rsidP="009B2AFE">
            <w:pPr>
              <w:jc w:val="center"/>
              <w:rPr>
                <w:rFonts w:ascii="Arial" w:hAnsi="Arial" w:cs="Arial"/>
              </w:rPr>
            </w:pPr>
            <w:r>
              <w:rPr>
                <w:rFonts w:ascii="Arial" w:hAnsi="Arial" w:cs="Arial"/>
              </w:rPr>
              <w:t>Zadar</w:t>
            </w:r>
          </w:p>
        </w:tc>
        <w:tc>
          <w:tcPr>
            <w:tcW w:w="7513" w:type="dxa"/>
            <w:vAlign w:val="center"/>
          </w:tcPr>
          <w:p w:rsidR="006003A4" w:rsidRPr="006003A4" w:rsidRDefault="006003A4" w:rsidP="009B2AFE">
            <w:pPr>
              <w:jc w:val="both"/>
              <w:rPr>
                <w:rFonts w:ascii="Arial" w:hAnsi="Arial" w:cs="Arial"/>
                <w:i/>
              </w:rPr>
            </w:pPr>
            <w:r w:rsidRPr="006003A4">
              <w:rPr>
                <w:rFonts w:ascii="Arial" w:hAnsi="Arial" w:cs="Arial"/>
                <w:i/>
              </w:rPr>
              <w:t>Načelna primjedba:</w:t>
            </w:r>
          </w:p>
          <w:p w:rsidR="009B2AFE" w:rsidRPr="009B2AFE" w:rsidRDefault="009B2AFE" w:rsidP="009B2AFE">
            <w:pPr>
              <w:jc w:val="both"/>
              <w:rPr>
                <w:rFonts w:ascii="Arial" w:hAnsi="Arial" w:cs="Arial"/>
              </w:rPr>
            </w:pPr>
            <w:r w:rsidRPr="009B2AFE">
              <w:rPr>
                <w:rFonts w:ascii="Arial" w:hAnsi="Arial" w:cs="Arial"/>
              </w:rPr>
              <w:t xml:space="preserve">Sukladno </w:t>
            </w:r>
            <w:r>
              <w:rPr>
                <w:rFonts w:ascii="Arial" w:hAnsi="Arial" w:cs="Arial"/>
              </w:rPr>
              <w:t>č</w:t>
            </w:r>
            <w:r w:rsidRPr="009B2AFE">
              <w:rPr>
                <w:rFonts w:ascii="Arial" w:hAnsi="Arial" w:cs="Arial"/>
              </w:rPr>
              <w:t>lanku 70. stavak 3. Zakona o gospodarenju otpadom iznajmljivače koji kao fizičke osobe pružaju ugostiteljske usluge u domaćinstvu, sukladno zakonu kojim se uređuje ugostiteljska djelatnost, Zakon o gospodarenju otpadom tretira kao one koji nisu kućanstva.</w:t>
            </w:r>
          </w:p>
          <w:p w:rsidR="009B2AFE" w:rsidRPr="009B2AFE" w:rsidRDefault="009B2AFE" w:rsidP="009B2AFE">
            <w:pPr>
              <w:jc w:val="both"/>
              <w:rPr>
                <w:rFonts w:ascii="Arial" w:hAnsi="Arial" w:cs="Arial"/>
              </w:rPr>
            </w:pPr>
            <w:r w:rsidRPr="009B2AFE">
              <w:rPr>
                <w:rFonts w:ascii="Arial" w:hAnsi="Arial" w:cs="Arial"/>
              </w:rPr>
              <w:t>Postavlja se pitanje da li su oni cijelu godinu u kategoriji nekućanstava ili samo tijekom perioda iznajmljivanja. Zakon je tu nedorečen. Sukladno zakonu, njima ne bi trebali davati ni spremnike za reciklabilni otpad što je prilično nepravedno već bi se oni trebali javljati ovlaštenim skupljačima koji bi odvoz reciklabilnog otpada naplatili posebno kao i od svih drugih nekućanstava.</w:t>
            </w:r>
          </w:p>
          <w:p w:rsidR="009B2AFE" w:rsidRDefault="009B2AFE" w:rsidP="00A80023">
            <w:pPr>
              <w:jc w:val="both"/>
              <w:rPr>
                <w:rFonts w:ascii="Arial" w:hAnsi="Arial" w:cs="Arial"/>
              </w:rPr>
            </w:pPr>
            <w:r w:rsidRPr="009B2AFE">
              <w:rPr>
                <w:rFonts w:ascii="Arial" w:hAnsi="Arial" w:cs="Arial"/>
              </w:rPr>
              <w:t>Smatramo da je njima potrebno dati spremnike za reciklabilni otpad, što i radimo te u Odluci definirati njihov period statusa nekućanstava u najčešćem periodu iznajmljivanja, a to je od 01. lipnja do 30.rujna</w:t>
            </w:r>
            <w:r w:rsidR="00A80023">
              <w:rPr>
                <w:rFonts w:ascii="Arial" w:hAnsi="Arial" w:cs="Arial"/>
              </w:rPr>
              <w:t>.</w:t>
            </w:r>
          </w:p>
          <w:p w:rsidR="00A80023" w:rsidRDefault="00A80023" w:rsidP="00A80023">
            <w:pPr>
              <w:jc w:val="both"/>
              <w:rPr>
                <w:rFonts w:ascii="Arial" w:hAnsi="Arial" w:cs="Arial"/>
              </w:rPr>
            </w:pPr>
          </w:p>
          <w:p w:rsidR="00A80023" w:rsidRPr="006003A4" w:rsidRDefault="00A80023" w:rsidP="00A80023">
            <w:pPr>
              <w:jc w:val="both"/>
              <w:rPr>
                <w:rFonts w:ascii="Arial" w:hAnsi="Arial" w:cs="Arial"/>
                <w:i/>
              </w:rPr>
            </w:pPr>
            <w:r w:rsidRPr="006003A4">
              <w:rPr>
                <w:rFonts w:ascii="Arial" w:hAnsi="Arial" w:cs="Arial"/>
                <w:i/>
              </w:rPr>
              <w:t>Prijedlo</w:t>
            </w:r>
            <w:r w:rsidR="000D2338">
              <w:rPr>
                <w:rFonts w:ascii="Arial" w:hAnsi="Arial" w:cs="Arial"/>
                <w:i/>
              </w:rPr>
              <w:t>zi</w:t>
            </w:r>
            <w:r w:rsidR="006003A4" w:rsidRPr="006003A4">
              <w:rPr>
                <w:rFonts w:ascii="Arial" w:hAnsi="Arial" w:cs="Arial"/>
                <w:i/>
              </w:rPr>
              <w:t xml:space="preserve"> na pojedini članak</w:t>
            </w:r>
            <w:r w:rsidRPr="006003A4">
              <w:rPr>
                <w:rFonts w:ascii="Arial" w:hAnsi="Arial" w:cs="Arial"/>
                <w:i/>
              </w:rPr>
              <w:t>:</w:t>
            </w:r>
          </w:p>
          <w:p w:rsidR="00A80023" w:rsidRPr="00A80023" w:rsidRDefault="00A80023" w:rsidP="00A80023">
            <w:pPr>
              <w:jc w:val="both"/>
              <w:rPr>
                <w:rFonts w:ascii="Arial" w:hAnsi="Arial" w:cs="Arial"/>
              </w:rPr>
            </w:pPr>
            <w:r w:rsidRPr="00A80023">
              <w:rPr>
                <w:rFonts w:ascii="Arial" w:hAnsi="Arial" w:cs="Arial"/>
              </w:rPr>
              <w:t>U članku 5., stavak 3. Odluke treba glasiti:</w:t>
            </w:r>
          </w:p>
          <w:p w:rsidR="00A80023" w:rsidRPr="00A80023" w:rsidRDefault="00A80023" w:rsidP="00A80023">
            <w:pPr>
              <w:jc w:val="both"/>
              <w:rPr>
                <w:rFonts w:ascii="Arial" w:hAnsi="Arial" w:cs="Arial"/>
              </w:rPr>
            </w:pPr>
            <w:r w:rsidRPr="00A80023">
              <w:rPr>
                <w:rFonts w:ascii="Arial" w:hAnsi="Arial" w:cs="Arial"/>
              </w:rPr>
              <w:lastRenderedPageBreak/>
              <w:t>(3) Korisnik iz stavka 2. točke 2. ovoga članka je korisnik usluge koji nije razvrstan u kategoriju kućanstvo, a koji nekretninu koristi u svrhu obavljanja djelatnosti, što uključuje i iznajmljivače koji kao fizičke osobe pružaju ugostiteljske usluge u domaćinstvu sukladno zakonu kojim se uređuje ugostiteljska djelatnost i to sezonski, u periodu od 01. lipnja do 30. rujna.</w:t>
            </w:r>
          </w:p>
          <w:p w:rsidR="00A80023" w:rsidRPr="00A80023" w:rsidRDefault="00A80023" w:rsidP="00A80023">
            <w:pPr>
              <w:jc w:val="both"/>
              <w:rPr>
                <w:rFonts w:ascii="Arial" w:hAnsi="Arial" w:cs="Arial"/>
              </w:rPr>
            </w:pPr>
            <w:r w:rsidRPr="00A80023">
              <w:rPr>
                <w:rFonts w:ascii="Arial" w:hAnsi="Arial" w:cs="Arial"/>
              </w:rPr>
              <w:t>Također takav tekst treba stajati i u općim uvjetima ugovora o korištenju javne usluge sakupljanja komunalnog otpada:</w:t>
            </w:r>
          </w:p>
          <w:p w:rsidR="00A80023" w:rsidRPr="00A80023" w:rsidRDefault="00A80023" w:rsidP="00A80023">
            <w:pPr>
              <w:jc w:val="both"/>
              <w:rPr>
                <w:rFonts w:ascii="Arial" w:hAnsi="Arial" w:cs="Arial"/>
              </w:rPr>
            </w:pPr>
            <w:r w:rsidRPr="00A80023">
              <w:rPr>
                <w:rFonts w:ascii="Arial" w:hAnsi="Arial" w:cs="Arial"/>
              </w:rPr>
              <w:t>•</w:t>
            </w:r>
            <w:r w:rsidRPr="00A80023">
              <w:rPr>
                <w:rFonts w:ascii="Arial" w:hAnsi="Arial" w:cs="Arial"/>
              </w:rPr>
              <w:tab/>
              <w:t>Korisnici usluge ovisno o načinu korištenja nekretnine, trajno ili povremeno, u svrhu stanovanja (vlasnici stanova, kuća, nekretnina za odmor) ili u svrhu obavljanja djelatnosti ili druge svrhe, razvrstavaju se u kategoriju:</w:t>
            </w:r>
          </w:p>
          <w:p w:rsidR="00A80023" w:rsidRPr="00A80023" w:rsidRDefault="00A80023" w:rsidP="00A80023">
            <w:pPr>
              <w:jc w:val="both"/>
              <w:rPr>
                <w:rFonts w:ascii="Arial" w:hAnsi="Arial" w:cs="Arial"/>
              </w:rPr>
            </w:pPr>
            <w:r w:rsidRPr="00A80023">
              <w:rPr>
                <w:rFonts w:ascii="Arial" w:hAnsi="Arial" w:cs="Arial"/>
              </w:rPr>
              <w:t>1. korisnika kućanstvo ili</w:t>
            </w:r>
          </w:p>
          <w:p w:rsidR="00A80023" w:rsidRPr="009B2AFE" w:rsidRDefault="00A80023" w:rsidP="00A80023">
            <w:pPr>
              <w:jc w:val="both"/>
              <w:rPr>
                <w:rFonts w:ascii="Arial" w:hAnsi="Arial" w:cs="Arial"/>
              </w:rPr>
            </w:pPr>
            <w:r w:rsidRPr="00A80023">
              <w:rPr>
                <w:rFonts w:ascii="Arial" w:hAnsi="Arial" w:cs="Arial"/>
              </w:rPr>
              <w:t>2. korisnika koji nije kućanstvo (korisnik koji nije razvrstan u kategoriju kućanstvo, a koji nekretninu koristi u svrhu obavljanja djelatnosti, što uključuje i iznajmljivače koji kao fizičke osobe pružaju ugostiteljske usluge u domaćinstvu sukladno zakonu kojim se uređuje ugostiteljska djelatnost i to sezonski, u periodu od 01. lipnja do 30. rujna</w:t>
            </w:r>
            <w:r w:rsidR="006003A4">
              <w:rPr>
                <w:rFonts w:ascii="Arial" w:hAnsi="Arial" w:cs="Arial"/>
              </w:rPr>
              <w:t>)</w:t>
            </w:r>
            <w:r w:rsidRPr="00A80023">
              <w:rPr>
                <w:rFonts w:ascii="Arial" w:hAnsi="Arial" w:cs="Arial"/>
              </w:rPr>
              <w:t>.</w:t>
            </w:r>
          </w:p>
        </w:tc>
        <w:tc>
          <w:tcPr>
            <w:tcW w:w="1276" w:type="dxa"/>
            <w:vAlign w:val="center"/>
          </w:tcPr>
          <w:p w:rsidR="009B2AFE" w:rsidRPr="009B2AFE" w:rsidRDefault="00DE31F0" w:rsidP="009B2AFE">
            <w:pPr>
              <w:jc w:val="center"/>
              <w:rPr>
                <w:rFonts w:ascii="Arial" w:hAnsi="Arial" w:cs="Arial"/>
              </w:rPr>
            </w:pPr>
            <w:r>
              <w:rPr>
                <w:rFonts w:ascii="Arial" w:hAnsi="Arial" w:cs="Arial"/>
              </w:rPr>
              <w:lastRenderedPageBreak/>
              <w:t>Prihvaća se</w:t>
            </w:r>
          </w:p>
        </w:tc>
        <w:tc>
          <w:tcPr>
            <w:tcW w:w="4678" w:type="dxa"/>
            <w:vAlign w:val="center"/>
          </w:tcPr>
          <w:p w:rsidR="009B2AFE" w:rsidRPr="009B2AFE" w:rsidRDefault="00E903B9" w:rsidP="00581848">
            <w:pPr>
              <w:rPr>
                <w:rFonts w:ascii="Arial" w:hAnsi="Arial" w:cs="Arial"/>
              </w:rPr>
            </w:pPr>
            <w:r>
              <w:rPr>
                <w:rFonts w:ascii="Arial" w:hAnsi="Arial" w:cs="Arial"/>
              </w:rPr>
              <w:t xml:space="preserve">Ministarstvu </w:t>
            </w:r>
            <w:r w:rsidR="00DE31F0">
              <w:rPr>
                <w:rFonts w:ascii="Arial" w:hAnsi="Arial" w:cs="Arial"/>
              </w:rPr>
              <w:t xml:space="preserve">gospodarstva i održivog razvoja </w:t>
            </w:r>
            <w:r>
              <w:rPr>
                <w:rFonts w:ascii="Arial" w:hAnsi="Arial" w:cs="Arial"/>
              </w:rPr>
              <w:t>upućena zamolba za tumačenje Zakona</w:t>
            </w:r>
            <w:r w:rsidR="00DE31F0">
              <w:rPr>
                <w:rFonts w:ascii="Arial" w:hAnsi="Arial" w:cs="Arial"/>
              </w:rPr>
              <w:t xml:space="preserve"> vezano za postavljenu primjedbu</w:t>
            </w:r>
            <w:r>
              <w:rPr>
                <w:rFonts w:ascii="Arial" w:hAnsi="Arial" w:cs="Arial"/>
              </w:rPr>
              <w:t>.</w:t>
            </w:r>
            <w:r w:rsidR="00DE31F0">
              <w:rPr>
                <w:rFonts w:ascii="Arial" w:hAnsi="Arial" w:cs="Arial"/>
              </w:rPr>
              <w:t xml:space="preserve"> Odgovor Ministar</w:t>
            </w:r>
            <w:r w:rsidR="00581848">
              <w:rPr>
                <w:rFonts w:ascii="Arial" w:hAnsi="Arial" w:cs="Arial"/>
              </w:rPr>
              <w:t xml:space="preserve">stva nalazi se u privitku ovog </w:t>
            </w:r>
            <w:r w:rsidR="00581848" w:rsidRPr="00581848">
              <w:rPr>
                <w:rFonts w:ascii="Arial" w:hAnsi="Arial" w:cs="Arial"/>
                <w:i/>
              </w:rPr>
              <w:t>Izvj</w:t>
            </w:r>
            <w:r w:rsidR="00581848">
              <w:rPr>
                <w:rFonts w:ascii="Arial" w:hAnsi="Arial" w:cs="Arial"/>
                <w:i/>
              </w:rPr>
              <w:t>ešća.</w:t>
            </w:r>
            <w:r w:rsidR="00DE31F0">
              <w:rPr>
                <w:rFonts w:ascii="Arial" w:hAnsi="Arial" w:cs="Arial"/>
              </w:rPr>
              <w:t xml:space="preserve"> Prijedlog uvršten u čl. 5. stavak 3. Odluke.</w:t>
            </w:r>
          </w:p>
        </w:tc>
      </w:tr>
      <w:tr w:rsidR="00A80023" w:rsidTr="00E903B9">
        <w:tc>
          <w:tcPr>
            <w:tcW w:w="568" w:type="dxa"/>
            <w:vAlign w:val="center"/>
          </w:tcPr>
          <w:p w:rsidR="00A80023" w:rsidRDefault="00A80023" w:rsidP="00A80023">
            <w:pPr>
              <w:jc w:val="center"/>
              <w:rPr>
                <w:rFonts w:ascii="Arial" w:hAnsi="Arial" w:cs="Arial"/>
              </w:rPr>
            </w:pPr>
            <w:r>
              <w:rPr>
                <w:rFonts w:ascii="Arial" w:hAnsi="Arial" w:cs="Arial"/>
              </w:rPr>
              <w:lastRenderedPageBreak/>
              <w:t>2.</w:t>
            </w:r>
          </w:p>
        </w:tc>
        <w:tc>
          <w:tcPr>
            <w:tcW w:w="992" w:type="dxa"/>
            <w:vAlign w:val="center"/>
          </w:tcPr>
          <w:p w:rsidR="00A80023" w:rsidRDefault="00A80023" w:rsidP="00A80023">
            <w:pPr>
              <w:jc w:val="center"/>
              <w:rPr>
                <w:rFonts w:ascii="Arial" w:hAnsi="Arial" w:cs="Arial"/>
              </w:rPr>
            </w:pPr>
            <w:r w:rsidRPr="009B2AFE">
              <w:rPr>
                <w:rFonts w:ascii="Arial" w:hAnsi="Arial" w:cs="Arial"/>
              </w:rPr>
              <w:t>Čistoća d.o.o.</w:t>
            </w:r>
            <w:r>
              <w:rPr>
                <w:rFonts w:ascii="Arial" w:hAnsi="Arial" w:cs="Arial"/>
              </w:rPr>
              <w:t>,</w:t>
            </w:r>
          </w:p>
          <w:p w:rsidR="00A80023" w:rsidRPr="009B2AFE" w:rsidRDefault="00A80023" w:rsidP="00A80023">
            <w:pPr>
              <w:jc w:val="center"/>
              <w:rPr>
                <w:rFonts w:ascii="Arial" w:hAnsi="Arial" w:cs="Arial"/>
              </w:rPr>
            </w:pPr>
            <w:r>
              <w:rPr>
                <w:rFonts w:ascii="Arial" w:hAnsi="Arial" w:cs="Arial"/>
              </w:rPr>
              <w:t>Zadar</w:t>
            </w:r>
          </w:p>
        </w:tc>
        <w:tc>
          <w:tcPr>
            <w:tcW w:w="7513" w:type="dxa"/>
            <w:vAlign w:val="center"/>
          </w:tcPr>
          <w:p w:rsidR="00A80023" w:rsidRPr="006003A4" w:rsidRDefault="00A80023" w:rsidP="00A80023">
            <w:pPr>
              <w:jc w:val="both"/>
              <w:rPr>
                <w:rFonts w:ascii="Arial" w:hAnsi="Arial" w:cs="Arial"/>
                <w:i/>
              </w:rPr>
            </w:pPr>
            <w:r w:rsidRPr="006003A4">
              <w:rPr>
                <w:rFonts w:ascii="Arial" w:hAnsi="Arial" w:cs="Arial"/>
                <w:i/>
              </w:rPr>
              <w:t>Načelna primjedba:</w:t>
            </w:r>
          </w:p>
          <w:p w:rsidR="00A80023" w:rsidRDefault="00A80023" w:rsidP="00A80023">
            <w:pPr>
              <w:jc w:val="both"/>
              <w:rPr>
                <w:rFonts w:ascii="Arial" w:hAnsi="Arial" w:cs="Arial"/>
              </w:rPr>
            </w:pPr>
            <w:r w:rsidRPr="00A80023">
              <w:rPr>
                <w:rFonts w:ascii="Arial" w:hAnsi="Arial" w:cs="Arial"/>
              </w:rPr>
              <w:t>U nacrtu Odluke nije prenijeta odrednica iz trenutno važeće Odluke da obračunska mjesta određuje davatelj usluge.</w:t>
            </w:r>
          </w:p>
          <w:p w:rsidR="006003A4" w:rsidRPr="006003A4" w:rsidRDefault="006003A4" w:rsidP="00A80023">
            <w:pPr>
              <w:jc w:val="both"/>
              <w:rPr>
                <w:rFonts w:ascii="Arial" w:hAnsi="Arial" w:cs="Arial"/>
                <w:i/>
              </w:rPr>
            </w:pPr>
            <w:r w:rsidRPr="006003A4">
              <w:rPr>
                <w:rFonts w:ascii="Arial" w:hAnsi="Arial" w:cs="Arial"/>
                <w:i/>
              </w:rPr>
              <w:t>Prijedlo</w:t>
            </w:r>
            <w:r w:rsidR="000D2338">
              <w:rPr>
                <w:rFonts w:ascii="Arial" w:hAnsi="Arial" w:cs="Arial"/>
                <w:i/>
              </w:rPr>
              <w:t>zi</w:t>
            </w:r>
            <w:r w:rsidRPr="006003A4">
              <w:rPr>
                <w:rFonts w:ascii="Arial" w:hAnsi="Arial" w:cs="Arial"/>
                <w:i/>
              </w:rPr>
              <w:t xml:space="preserve"> na pojedini članak:</w:t>
            </w:r>
          </w:p>
          <w:p w:rsidR="00A80023" w:rsidRPr="00A80023" w:rsidRDefault="006003A4" w:rsidP="00A80023">
            <w:pPr>
              <w:jc w:val="both"/>
              <w:rPr>
                <w:rFonts w:ascii="Arial" w:hAnsi="Arial" w:cs="Arial"/>
              </w:rPr>
            </w:pPr>
            <w:r w:rsidRPr="006003A4">
              <w:rPr>
                <w:rFonts w:ascii="Arial" w:hAnsi="Arial" w:cs="Arial"/>
              </w:rPr>
              <w:t>U tekst Odluke treba uvrstiti odrednicu da obračunska mjesta određuje davatelj usluge jer se korisnici usluga u praksi sami nikada neće dogovoriti oko toga.</w:t>
            </w:r>
          </w:p>
        </w:tc>
        <w:tc>
          <w:tcPr>
            <w:tcW w:w="1276" w:type="dxa"/>
            <w:vAlign w:val="center"/>
          </w:tcPr>
          <w:p w:rsidR="00A80023" w:rsidRPr="009B2AFE" w:rsidRDefault="004851BD" w:rsidP="00A80023">
            <w:pPr>
              <w:jc w:val="center"/>
              <w:rPr>
                <w:rFonts w:ascii="Arial" w:hAnsi="Arial" w:cs="Arial"/>
              </w:rPr>
            </w:pPr>
            <w:r>
              <w:rPr>
                <w:rFonts w:ascii="Arial" w:hAnsi="Arial" w:cs="Arial"/>
              </w:rPr>
              <w:t xml:space="preserve">Prihvaća se </w:t>
            </w:r>
          </w:p>
        </w:tc>
        <w:tc>
          <w:tcPr>
            <w:tcW w:w="4678" w:type="dxa"/>
            <w:vAlign w:val="center"/>
          </w:tcPr>
          <w:p w:rsidR="00A80023" w:rsidRPr="009B2AFE" w:rsidRDefault="003967F9" w:rsidP="002B603E">
            <w:pPr>
              <w:jc w:val="both"/>
              <w:rPr>
                <w:rFonts w:ascii="Arial" w:hAnsi="Arial" w:cs="Arial"/>
              </w:rPr>
            </w:pPr>
            <w:r>
              <w:rPr>
                <w:rFonts w:ascii="Arial" w:hAnsi="Arial" w:cs="Arial"/>
              </w:rPr>
              <w:t>U</w:t>
            </w:r>
            <w:r w:rsidR="006003A4">
              <w:rPr>
                <w:rFonts w:ascii="Arial" w:hAnsi="Arial" w:cs="Arial"/>
              </w:rPr>
              <w:t xml:space="preserve"> član</w:t>
            </w:r>
            <w:r w:rsidR="004851BD">
              <w:rPr>
                <w:rFonts w:ascii="Arial" w:hAnsi="Arial" w:cs="Arial"/>
              </w:rPr>
              <w:t>a</w:t>
            </w:r>
            <w:r w:rsidR="006003A4">
              <w:rPr>
                <w:rFonts w:ascii="Arial" w:hAnsi="Arial" w:cs="Arial"/>
              </w:rPr>
              <w:t>k 20., stav</w:t>
            </w:r>
            <w:r w:rsidR="004851BD">
              <w:rPr>
                <w:rFonts w:ascii="Arial" w:hAnsi="Arial" w:cs="Arial"/>
              </w:rPr>
              <w:t>a</w:t>
            </w:r>
            <w:r w:rsidR="006003A4">
              <w:rPr>
                <w:rFonts w:ascii="Arial" w:hAnsi="Arial" w:cs="Arial"/>
              </w:rPr>
              <w:t>k 2. Nacrta Odluke</w:t>
            </w:r>
            <w:r w:rsidR="004851BD">
              <w:rPr>
                <w:rFonts w:ascii="Arial" w:hAnsi="Arial" w:cs="Arial"/>
              </w:rPr>
              <w:t xml:space="preserve"> i Opće uvjete </w:t>
            </w:r>
            <w:r w:rsidR="002B603E">
              <w:rPr>
                <w:rFonts w:ascii="Arial" w:hAnsi="Arial" w:cs="Arial"/>
              </w:rPr>
              <w:t>ugovora</w:t>
            </w:r>
            <w:r w:rsidR="006003A4">
              <w:rPr>
                <w:rFonts w:ascii="Arial" w:hAnsi="Arial" w:cs="Arial"/>
              </w:rPr>
              <w:t xml:space="preserve">, </w:t>
            </w:r>
            <w:r w:rsidR="002B603E">
              <w:rPr>
                <w:rFonts w:ascii="Arial" w:hAnsi="Arial" w:cs="Arial"/>
              </w:rPr>
              <w:t>uvrštena</w:t>
            </w:r>
            <w:r w:rsidR="004851BD">
              <w:rPr>
                <w:rFonts w:ascii="Arial" w:hAnsi="Arial" w:cs="Arial"/>
              </w:rPr>
              <w:t xml:space="preserve"> </w:t>
            </w:r>
            <w:r w:rsidR="002B603E">
              <w:rPr>
                <w:rFonts w:ascii="Arial" w:hAnsi="Arial" w:cs="Arial"/>
              </w:rPr>
              <w:t>j</w:t>
            </w:r>
            <w:r w:rsidR="004851BD">
              <w:rPr>
                <w:rFonts w:ascii="Arial" w:hAnsi="Arial" w:cs="Arial"/>
              </w:rPr>
              <w:t xml:space="preserve">e odredba da </w:t>
            </w:r>
            <w:r w:rsidR="004851BD" w:rsidRPr="004851BD">
              <w:rPr>
                <w:rFonts w:ascii="Arial" w:hAnsi="Arial" w:cs="Arial"/>
              </w:rPr>
              <w:t>obračunska mjesta određuje davatelj usluge</w:t>
            </w:r>
            <w:r w:rsidR="004851BD">
              <w:rPr>
                <w:rFonts w:ascii="Arial" w:hAnsi="Arial" w:cs="Arial"/>
              </w:rPr>
              <w:t>.</w:t>
            </w:r>
          </w:p>
        </w:tc>
      </w:tr>
      <w:tr w:rsidR="000D2338" w:rsidTr="00E903B9">
        <w:tc>
          <w:tcPr>
            <w:tcW w:w="568" w:type="dxa"/>
            <w:vAlign w:val="center"/>
          </w:tcPr>
          <w:p w:rsidR="000D2338" w:rsidRDefault="000D2338" w:rsidP="00A80023">
            <w:pPr>
              <w:jc w:val="center"/>
              <w:rPr>
                <w:rFonts w:ascii="Arial" w:hAnsi="Arial" w:cs="Arial"/>
              </w:rPr>
            </w:pPr>
            <w:r>
              <w:rPr>
                <w:rFonts w:ascii="Arial" w:hAnsi="Arial" w:cs="Arial"/>
              </w:rPr>
              <w:t>3.</w:t>
            </w:r>
          </w:p>
        </w:tc>
        <w:tc>
          <w:tcPr>
            <w:tcW w:w="992" w:type="dxa"/>
            <w:vAlign w:val="center"/>
          </w:tcPr>
          <w:p w:rsidR="000D2338" w:rsidRPr="009B2AFE" w:rsidRDefault="008D0AE0" w:rsidP="00A80023">
            <w:pPr>
              <w:jc w:val="center"/>
              <w:rPr>
                <w:rFonts w:ascii="Arial" w:hAnsi="Arial" w:cs="Arial"/>
              </w:rPr>
            </w:pPr>
            <w:r>
              <w:rPr>
                <w:rFonts w:ascii="Arial" w:hAnsi="Arial" w:cs="Arial"/>
              </w:rPr>
              <w:t>Anonimno</w:t>
            </w:r>
          </w:p>
        </w:tc>
        <w:tc>
          <w:tcPr>
            <w:tcW w:w="7513" w:type="dxa"/>
            <w:vAlign w:val="center"/>
          </w:tcPr>
          <w:p w:rsidR="000D2338" w:rsidRDefault="000D2338" w:rsidP="00A80023">
            <w:pPr>
              <w:jc w:val="both"/>
              <w:rPr>
                <w:rFonts w:ascii="Arial" w:hAnsi="Arial" w:cs="Arial"/>
                <w:i/>
              </w:rPr>
            </w:pPr>
            <w:r>
              <w:rPr>
                <w:rFonts w:ascii="Arial" w:hAnsi="Arial" w:cs="Arial"/>
                <w:i/>
              </w:rPr>
              <w:t>Načelne primjedbe:</w:t>
            </w:r>
          </w:p>
          <w:p w:rsidR="000D2338" w:rsidRDefault="008D0AE0" w:rsidP="00A80023">
            <w:pPr>
              <w:jc w:val="both"/>
              <w:rPr>
                <w:rFonts w:ascii="Arial" w:hAnsi="Arial" w:cs="Arial"/>
              </w:rPr>
            </w:pPr>
            <w:r>
              <w:rPr>
                <w:rFonts w:ascii="Arial" w:hAnsi="Arial" w:cs="Arial"/>
              </w:rPr>
              <w:t>N</w:t>
            </w:r>
            <w:r w:rsidR="000D2338" w:rsidRPr="000D2338">
              <w:rPr>
                <w:rFonts w:ascii="Arial" w:hAnsi="Arial" w:cs="Arial"/>
              </w:rPr>
              <w:t>ačelno</w:t>
            </w:r>
            <w:r>
              <w:rPr>
                <w:rFonts w:ascii="Arial" w:hAnsi="Arial" w:cs="Arial"/>
              </w:rPr>
              <w:t xml:space="preserve"> se</w:t>
            </w:r>
            <w:r w:rsidR="000D2338" w:rsidRPr="000D2338">
              <w:rPr>
                <w:rFonts w:ascii="Arial" w:hAnsi="Arial" w:cs="Arial"/>
              </w:rPr>
              <w:t xml:space="preserve"> istič</w:t>
            </w:r>
            <w:r>
              <w:rPr>
                <w:rFonts w:ascii="Arial" w:hAnsi="Arial" w:cs="Arial"/>
              </w:rPr>
              <w:t>u</w:t>
            </w:r>
            <w:r w:rsidR="000D2338" w:rsidRPr="000D2338">
              <w:rPr>
                <w:rFonts w:ascii="Arial" w:hAnsi="Arial" w:cs="Arial"/>
              </w:rPr>
              <w:t xml:space="preserve"> primjedbe protiv nacrta Odluke o načinu pružanja javne usluge sakupljanja komunalnog otpada na području Grada Zadra, budući su odredbe predmetne odluke sastavljene nejasno, te ne sadrže dovoljno podataka o formiranju konačne cijene odvoza komunalnog otpada kako za kućanstvo, tako i za gospodarstvo, pri čemu javnost nije dovoljno upoznata sa razlozima povećanja cijene odvoza otpada (do kojeg će neminovno doći) te parametrima koji su korišteni u formiranju nove uvećane cijene. U prethodnom razdoblju koje nije bilo tako davno (2018. godine) je cijena usluge odvoza otpada drastično uvećana u odnosu na dosadašnje (preko </w:t>
            </w:r>
            <w:r w:rsidR="000D2338" w:rsidRPr="000D2338">
              <w:rPr>
                <w:rFonts w:ascii="Arial" w:hAnsi="Arial" w:cs="Arial"/>
              </w:rPr>
              <w:lastRenderedPageBreak/>
              <w:t>300% u pojedinim djelatnostima), a sada očito slijedi novi val poskupljenja odvoza otpada.</w:t>
            </w:r>
          </w:p>
          <w:p w:rsidR="000D2338" w:rsidRPr="000D2338" w:rsidRDefault="009447F5" w:rsidP="000D2338">
            <w:pPr>
              <w:jc w:val="both"/>
              <w:rPr>
                <w:rFonts w:ascii="Arial" w:hAnsi="Arial" w:cs="Arial"/>
              </w:rPr>
            </w:pPr>
            <w:r>
              <w:rPr>
                <w:rFonts w:ascii="Arial" w:hAnsi="Arial" w:cs="Arial"/>
              </w:rPr>
              <w:t>S</w:t>
            </w:r>
            <w:bookmarkStart w:id="0" w:name="_GoBack"/>
            <w:bookmarkEnd w:id="0"/>
            <w:r w:rsidR="000D2338" w:rsidRPr="000D2338">
              <w:rPr>
                <w:rFonts w:ascii="Arial" w:hAnsi="Arial" w:cs="Arial"/>
              </w:rPr>
              <w:t xml:space="preserve">matramo neopravdanim ponovno drastično povećanje cijena ove komunalne usluge, što će biti štetno i </w:t>
            </w:r>
          </w:p>
          <w:p w:rsidR="000D2338" w:rsidRDefault="000D2338" w:rsidP="000D2338">
            <w:pPr>
              <w:jc w:val="both"/>
              <w:rPr>
                <w:rFonts w:ascii="Arial" w:hAnsi="Arial" w:cs="Arial"/>
              </w:rPr>
            </w:pPr>
            <w:r w:rsidRPr="000D2338">
              <w:rPr>
                <w:rFonts w:ascii="Arial" w:hAnsi="Arial" w:cs="Arial"/>
              </w:rPr>
              <w:t>financijski opterećujuće za zadarske obrtnike, čije poslovanje je ionako preopterećeno poskupljenjima na svim razinama – sirovine,</w:t>
            </w:r>
            <w:r>
              <w:t xml:space="preserve"> </w:t>
            </w:r>
            <w:r w:rsidRPr="000D2338">
              <w:rPr>
                <w:rFonts w:ascii="Arial" w:hAnsi="Arial" w:cs="Arial"/>
              </w:rPr>
              <w:t>dobavljači, te davanja na državnoj i lokalnoj razini.</w:t>
            </w:r>
          </w:p>
          <w:p w:rsidR="000D2338" w:rsidRDefault="000D2338" w:rsidP="000D2338">
            <w:pPr>
              <w:jc w:val="both"/>
              <w:rPr>
                <w:rFonts w:ascii="Arial" w:hAnsi="Arial" w:cs="Arial"/>
              </w:rPr>
            </w:pPr>
          </w:p>
          <w:p w:rsidR="000D2338" w:rsidRPr="000D2338" w:rsidRDefault="000D2338" w:rsidP="000D2338">
            <w:pPr>
              <w:jc w:val="both"/>
              <w:rPr>
                <w:rFonts w:ascii="Arial" w:hAnsi="Arial" w:cs="Arial"/>
                <w:i/>
              </w:rPr>
            </w:pPr>
            <w:r w:rsidRPr="000D2338">
              <w:rPr>
                <w:rFonts w:ascii="Arial" w:hAnsi="Arial" w:cs="Arial"/>
                <w:i/>
              </w:rPr>
              <w:t>Prijedlozi na pojedini članak:</w:t>
            </w:r>
          </w:p>
          <w:p w:rsidR="000D2338" w:rsidRDefault="000D2338" w:rsidP="000D2338">
            <w:pPr>
              <w:jc w:val="both"/>
              <w:rPr>
                <w:rFonts w:ascii="Arial" w:hAnsi="Arial" w:cs="Arial"/>
              </w:rPr>
            </w:pPr>
            <w:r w:rsidRPr="000D2338">
              <w:rPr>
                <w:rFonts w:ascii="Arial" w:hAnsi="Arial" w:cs="Arial"/>
              </w:rPr>
              <w:t>U čl. 11. st.1. je navedeno kako se cijena javne usluge plaća radi pokrića troškova pružanja javne usluge. Prema predloženom novom izračunu cijena formirana od dva parametra - cijena obvezne minimalne javne usluge i cijena za količinu predanog miješanog komunalnog otpada. Ovom odlukom je definirana cijena obvezne minimalne javne usluge, te je samo ona uvećana za cca 100% u odnosu na dosadašnju minimalnu cijenu primjerice za kućanstvo (sa 48,00 kn na 82,00 kn) bez određenog cjenika za količinu predanog miješanog komunalnog otpada. S obzirom da se iz prednje navedenih činjenica da naslutiti znatno, odnosno višestruko povećanje cijene ove komunalne usluge, javnost i obrtnici zaslužuju znati koji su uzroci ovog znatnog povećanja cijene, odnosno koje povećane troškove pružanja ove javne usluge će snositi. Ovdje napominjemo kako gradska tvrtka Čistoća Zadar d.o.o., prema javno dostupnim financijskim podacima, već dugi niz godina ostvaruje pozitivne financijske rezultate, odnosno posluje sa određenom dobiti (npr. u 2020. godini je ostvarena dobit u iznosu od 1.346.363,09 nakon oporezivanja, u 2019. 5.376.340,51 kn), što smatramo još jednim argumentom koji osp</w:t>
            </w:r>
            <w:r>
              <w:rPr>
                <w:rFonts w:ascii="Arial" w:hAnsi="Arial" w:cs="Arial"/>
              </w:rPr>
              <w:t>orava potrebu povećanja cijene ove usluge.</w:t>
            </w:r>
          </w:p>
          <w:p w:rsidR="000D2338" w:rsidRDefault="000D2338" w:rsidP="000D2338">
            <w:pPr>
              <w:jc w:val="both"/>
              <w:rPr>
                <w:rFonts w:ascii="Arial" w:hAnsi="Arial" w:cs="Arial"/>
              </w:rPr>
            </w:pPr>
          </w:p>
          <w:p w:rsidR="000D2338" w:rsidRDefault="000D2338" w:rsidP="000D2338">
            <w:pPr>
              <w:jc w:val="both"/>
              <w:rPr>
                <w:rFonts w:ascii="Arial" w:hAnsi="Arial" w:cs="Arial"/>
              </w:rPr>
            </w:pPr>
            <w:r w:rsidRPr="000D2338">
              <w:rPr>
                <w:rFonts w:ascii="Arial" w:hAnsi="Arial" w:cs="Arial"/>
              </w:rPr>
              <w:t xml:space="preserve">U čl. 11. st.2. je navedeno kako strukturu cijene javne usluge čine cijena za količinu predanog miješanog komunalnog otpada i cijena obvezne minimalne javne usluga. Nadalje, u čl. 12. st. 3. je utvrđena jedinstvena cijena obvezne minimalne javne usluge za korisnike iz kategorije kućanstva (66,09 kn + PDV) i zasebno za korisnike koji nisu kućanstvo (85,86 kn + PDV), te je samo iz ovog jednog dijela cijene jasno vidljivo da se ista za kategoriju kućanstva uvećava cca za 100%, dok dio cijene koji </w:t>
            </w:r>
            <w:r w:rsidRPr="000D2338">
              <w:rPr>
                <w:rFonts w:ascii="Arial" w:hAnsi="Arial" w:cs="Arial"/>
              </w:rPr>
              <w:lastRenderedPageBreak/>
              <w:t>se odnosi na količinu predanog miješanog komunalnog otpada se uopće ne daju iščitati iz predmetne odluke (u čl. 13. je definirana samo formula C = JCV x BP x U, bez definiranja jedinične cijene za pražnjenje određenog volumena spremnika). Za pretpostaviti je da će posebnim cjenikom biti određen ovaj dio cijene koji ovom odlukom nije definiran, međutim višestruko povećanje ukupne cijene je neminovno, i kao takvo će opteretiti i građane i gospodarstvenike, čije financije su ionako znatno umanjene</w:t>
            </w:r>
            <w:r>
              <w:rPr>
                <w:rFonts w:ascii="Arial" w:hAnsi="Arial" w:cs="Arial"/>
              </w:rPr>
              <w:t xml:space="preserve"> </w:t>
            </w:r>
            <w:r w:rsidRPr="000D2338">
              <w:rPr>
                <w:rFonts w:ascii="Arial" w:hAnsi="Arial" w:cs="Arial"/>
              </w:rPr>
              <w:t>povećanjem skoro svih životnih i poslovnih troškova. Upravo iz prednje navedenih razloga, smatramo da povećanje bilo koje cijene usluge treba biti minimalno moguće, te maksimalno opravdano. Također, smatramo kako o zasebnom cjeniku također treba povesti javnu raspravu, odnosno da javnost treba biti upoznata sa nacrtom prijedloga istog, budući on znatno utječe na formiranje konačne cijene odvoza komunalnog otpada, osobito u odnosu na pojedine gospodarske djelatnosti.</w:t>
            </w:r>
          </w:p>
          <w:p w:rsidR="000D2338" w:rsidRDefault="000D2338" w:rsidP="000D2338">
            <w:pPr>
              <w:jc w:val="both"/>
              <w:rPr>
                <w:rFonts w:ascii="Arial" w:hAnsi="Arial" w:cs="Arial"/>
              </w:rPr>
            </w:pPr>
          </w:p>
          <w:p w:rsidR="000D2338" w:rsidRPr="000D2338" w:rsidRDefault="000D2338" w:rsidP="000D2338">
            <w:pPr>
              <w:jc w:val="both"/>
              <w:rPr>
                <w:rFonts w:ascii="Arial" w:hAnsi="Arial" w:cs="Arial"/>
              </w:rPr>
            </w:pPr>
            <w:r w:rsidRPr="000D2338">
              <w:rPr>
                <w:rFonts w:ascii="Arial" w:hAnsi="Arial" w:cs="Arial"/>
              </w:rPr>
              <w:t>U čl. 23. su definirani standardizirani spremnici volumena, iz kojih vidimo kako je najmanji spremnik volumena 120 l, dok je dosad bilo moguće koristiti i spremnik manjeg volumena (80 l). Smatramo da, ukoliko to tehničke mogućnosti dopuštaju, treba zadržati i mogućnost korištenja spremnika manjeg volumena, iz razloga što bi razvrstavanjem otpada na biootpad i reciklabilni otpad, miješanog komunalnog otpada trebalo biti manje, stoga nije logično da nema više mogućnosti korištenja manjih spremnika, već samo spremnika veće voluminoznosti, za koje naravno vrijedi i veća cijena odvoza.</w:t>
            </w:r>
          </w:p>
        </w:tc>
        <w:tc>
          <w:tcPr>
            <w:tcW w:w="1276" w:type="dxa"/>
            <w:vAlign w:val="center"/>
          </w:tcPr>
          <w:p w:rsidR="000D2338" w:rsidRDefault="005F164E" w:rsidP="00A80023">
            <w:pPr>
              <w:jc w:val="center"/>
              <w:rPr>
                <w:rFonts w:ascii="Arial" w:hAnsi="Arial" w:cs="Arial"/>
              </w:rPr>
            </w:pPr>
            <w:r>
              <w:rPr>
                <w:rFonts w:ascii="Arial" w:hAnsi="Arial" w:cs="Arial"/>
              </w:rPr>
              <w:lastRenderedPageBreak/>
              <w:t>Prima se na znanje</w:t>
            </w:r>
          </w:p>
        </w:tc>
        <w:tc>
          <w:tcPr>
            <w:tcW w:w="4678" w:type="dxa"/>
            <w:vAlign w:val="center"/>
          </w:tcPr>
          <w:p w:rsidR="00ED7793" w:rsidRDefault="00ED7793" w:rsidP="008D0AE0">
            <w:pPr>
              <w:jc w:val="both"/>
              <w:rPr>
                <w:rFonts w:ascii="Arial" w:hAnsi="Arial" w:cs="Arial"/>
              </w:rPr>
            </w:pPr>
          </w:p>
          <w:p w:rsidR="00ED7793" w:rsidRDefault="00ED7793" w:rsidP="008D0AE0">
            <w:pPr>
              <w:jc w:val="both"/>
              <w:rPr>
                <w:rFonts w:ascii="Arial" w:hAnsi="Arial" w:cs="Arial"/>
              </w:rPr>
            </w:pPr>
          </w:p>
          <w:p w:rsidR="00ED7793" w:rsidRPr="00ED7793" w:rsidRDefault="00617516" w:rsidP="00ED7793">
            <w:pPr>
              <w:jc w:val="both"/>
              <w:rPr>
                <w:rFonts w:ascii="Arial" w:hAnsi="Arial" w:cs="Arial"/>
              </w:rPr>
            </w:pPr>
            <w:r>
              <w:rPr>
                <w:rFonts w:ascii="Arial" w:hAnsi="Arial" w:cs="Arial"/>
              </w:rPr>
              <w:t>Odluka se usklađuje</w:t>
            </w:r>
            <w:r w:rsidR="00ED7793">
              <w:rPr>
                <w:rFonts w:ascii="Arial" w:hAnsi="Arial" w:cs="Arial"/>
              </w:rPr>
              <w:t xml:space="preserve"> s novim Zakonom o gospodarenju otpadom prema kojem se sukladno čl. 76. n</w:t>
            </w:r>
            <w:r w:rsidR="00ED7793" w:rsidRPr="00ED7793">
              <w:rPr>
                <w:rFonts w:ascii="Arial" w:hAnsi="Arial" w:cs="Arial"/>
              </w:rPr>
              <w:t>a području pružanja javne usluge primjenjuje:</w:t>
            </w:r>
          </w:p>
          <w:p w:rsidR="00ED7793" w:rsidRPr="00ED7793" w:rsidRDefault="00ED7793" w:rsidP="00ED7793">
            <w:pPr>
              <w:jc w:val="both"/>
              <w:rPr>
                <w:rFonts w:ascii="Arial" w:hAnsi="Arial" w:cs="Arial"/>
              </w:rPr>
            </w:pPr>
            <w:r w:rsidRPr="00ED7793">
              <w:rPr>
                <w:rFonts w:ascii="Arial" w:hAnsi="Arial" w:cs="Arial"/>
              </w:rPr>
              <w:t>1. jedinstvena cijena obvezne minimalne javne usluge za korisnika usluge razvrstanog u kategoriju korisnika kućanstvo i</w:t>
            </w:r>
          </w:p>
          <w:p w:rsidR="00ED7793" w:rsidRDefault="00ED7793" w:rsidP="00ED7793">
            <w:pPr>
              <w:jc w:val="both"/>
              <w:rPr>
                <w:rFonts w:ascii="Arial" w:hAnsi="Arial" w:cs="Arial"/>
              </w:rPr>
            </w:pPr>
            <w:r w:rsidRPr="00ED7793">
              <w:rPr>
                <w:rFonts w:ascii="Arial" w:hAnsi="Arial" w:cs="Arial"/>
              </w:rPr>
              <w:t xml:space="preserve">2. jedinstvena cijena obvezne minimalne </w:t>
            </w:r>
            <w:r w:rsidRPr="00ED7793">
              <w:rPr>
                <w:rFonts w:ascii="Arial" w:hAnsi="Arial" w:cs="Arial"/>
              </w:rPr>
              <w:lastRenderedPageBreak/>
              <w:t>javne usluge za korisnika usluge razvrstanog u kategoriju korisnika koji nije kućanstvo.</w:t>
            </w:r>
          </w:p>
          <w:p w:rsidR="00ED7793" w:rsidRDefault="00ED7793" w:rsidP="008D0AE0">
            <w:pPr>
              <w:jc w:val="both"/>
              <w:rPr>
                <w:rFonts w:ascii="Arial" w:hAnsi="Arial" w:cs="Arial"/>
              </w:rPr>
            </w:pPr>
          </w:p>
          <w:p w:rsidR="00ED7793" w:rsidRDefault="00ED7793" w:rsidP="008D0AE0">
            <w:pPr>
              <w:jc w:val="both"/>
              <w:rPr>
                <w:rFonts w:ascii="Arial" w:hAnsi="Arial" w:cs="Arial"/>
              </w:rPr>
            </w:pPr>
          </w:p>
          <w:p w:rsidR="00ED7793" w:rsidRDefault="00ED7793" w:rsidP="008D0AE0">
            <w:pPr>
              <w:jc w:val="both"/>
              <w:rPr>
                <w:rFonts w:ascii="Arial" w:hAnsi="Arial" w:cs="Arial"/>
              </w:rPr>
            </w:pPr>
          </w:p>
          <w:p w:rsidR="00ED7793" w:rsidRDefault="00ED7793" w:rsidP="008D0AE0">
            <w:pPr>
              <w:jc w:val="both"/>
              <w:rPr>
                <w:rFonts w:ascii="Arial" w:hAnsi="Arial" w:cs="Arial"/>
              </w:rPr>
            </w:pPr>
          </w:p>
          <w:p w:rsidR="00ED7793" w:rsidRDefault="00ED7793" w:rsidP="008D0AE0">
            <w:pPr>
              <w:jc w:val="both"/>
              <w:rPr>
                <w:rFonts w:ascii="Arial" w:hAnsi="Arial" w:cs="Arial"/>
              </w:rPr>
            </w:pPr>
          </w:p>
          <w:p w:rsidR="00E903B9" w:rsidRDefault="00E903B9" w:rsidP="008D0AE0">
            <w:pPr>
              <w:jc w:val="both"/>
              <w:rPr>
                <w:rFonts w:ascii="Arial" w:hAnsi="Arial" w:cs="Arial"/>
              </w:rPr>
            </w:pPr>
          </w:p>
          <w:p w:rsidR="008D0AE0" w:rsidRPr="00E12FBF" w:rsidRDefault="008D0AE0" w:rsidP="008D0AE0">
            <w:pPr>
              <w:jc w:val="both"/>
              <w:rPr>
                <w:rFonts w:ascii="Arial" w:hAnsi="Arial" w:cs="Arial"/>
              </w:rPr>
            </w:pPr>
            <w:r>
              <w:rPr>
                <w:rFonts w:ascii="Arial" w:hAnsi="Arial" w:cs="Arial"/>
              </w:rPr>
              <w:t>Člankom 12. stavkom 5. definirano je</w:t>
            </w:r>
            <w:r w:rsidRPr="00E12FBF">
              <w:rPr>
                <w:rFonts w:ascii="Arial" w:hAnsi="Arial" w:cs="Arial"/>
              </w:rPr>
              <w:t xml:space="preserve"> </w:t>
            </w:r>
            <w:r>
              <w:rPr>
                <w:rFonts w:ascii="Arial" w:hAnsi="Arial" w:cs="Arial"/>
              </w:rPr>
              <w:t xml:space="preserve">da </w:t>
            </w:r>
            <w:r w:rsidR="00E35452">
              <w:rPr>
                <w:rFonts w:ascii="Arial" w:hAnsi="Arial" w:cs="Arial"/>
              </w:rPr>
              <w:t>su i</w:t>
            </w:r>
            <w:r w:rsidRPr="00E12FBF">
              <w:rPr>
                <w:rFonts w:ascii="Arial" w:hAnsi="Arial" w:cs="Arial"/>
              </w:rPr>
              <w:t>znosi cijene obvezne minim</w:t>
            </w:r>
            <w:r>
              <w:rPr>
                <w:rFonts w:ascii="Arial" w:hAnsi="Arial" w:cs="Arial"/>
              </w:rPr>
              <w:t xml:space="preserve">alne javne usluge za korisnike </w:t>
            </w:r>
            <w:r w:rsidRPr="00E12FBF">
              <w:rPr>
                <w:rFonts w:ascii="Arial" w:hAnsi="Arial" w:cs="Arial"/>
              </w:rPr>
              <w:t>usluge iz kategorije korisnika kućanstvo i korisnike javne usluge iz kategorije korisnika koji nije kućanstvo  određeni stavljajući u omjer dosadašnju razinu usluge koju su korisnici usluge bili dužni plaćati s troškovima za koje postoji obveza financiranja, a čija je svrha pruž</w:t>
            </w:r>
            <w:r w:rsidR="00E35452">
              <w:rPr>
                <w:rFonts w:ascii="Arial" w:hAnsi="Arial" w:cs="Arial"/>
              </w:rPr>
              <w:t>anje javne usluge što uključuje</w:t>
            </w:r>
            <w:r w:rsidRPr="00E12FBF">
              <w:rPr>
                <w:rFonts w:ascii="Arial" w:hAnsi="Arial" w:cs="Arial"/>
              </w:rPr>
              <w:t>:</w:t>
            </w:r>
          </w:p>
          <w:p w:rsidR="008D0AE0" w:rsidRPr="00E12FBF" w:rsidRDefault="008D0AE0" w:rsidP="00ED7793">
            <w:pPr>
              <w:pStyle w:val="ListParagraph"/>
              <w:numPr>
                <w:ilvl w:val="0"/>
                <w:numId w:val="1"/>
              </w:numPr>
              <w:ind w:left="176" w:hanging="142"/>
              <w:jc w:val="both"/>
              <w:rPr>
                <w:rFonts w:ascii="Arial" w:hAnsi="Arial" w:cs="Arial"/>
              </w:rPr>
            </w:pPr>
            <w:r w:rsidRPr="00E12FBF">
              <w:rPr>
                <w:rFonts w:ascii="Arial" w:hAnsi="Arial" w:cs="Arial"/>
              </w:rPr>
              <w:t>troškove nabave i održavanja opreme za prikupljanje otpada,</w:t>
            </w:r>
          </w:p>
          <w:p w:rsidR="008D0AE0" w:rsidRPr="00E12FBF" w:rsidRDefault="008D0AE0" w:rsidP="00ED7793">
            <w:pPr>
              <w:pStyle w:val="ListParagraph"/>
              <w:numPr>
                <w:ilvl w:val="0"/>
                <w:numId w:val="1"/>
              </w:numPr>
              <w:ind w:left="176" w:hanging="142"/>
              <w:jc w:val="both"/>
              <w:rPr>
                <w:rFonts w:ascii="Arial" w:hAnsi="Arial" w:cs="Arial"/>
              </w:rPr>
            </w:pPr>
            <w:r w:rsidRPr="00E12FBF">
              <w:rPr>
                <w:rFonts w:ascii="Arial" w:hAnsi="Arial" w:cs="Arial"/>
              </w:rPr>
              <w:t>troškove prijevoza otpada,</w:t>
            </w:r>
          </w:p>
          <w:p w:rsidR="008D0AE0" w:rsidRPr="00E12FBF" w:rsidRDefault="008D0AE0" w:rsidP="00ED7793">
            <w:pPr>
              <w:pStyle w:val="ListParagraph"/>
              <w:numPr>
                <w:ilvl w:val="0"/>
                <w:numId w:val="1"/>
              </w:numPr>
              <w:ind w:left="176" w:hanging="142"/>
              <w:jc w:val="both"/>
              <w:rPr>
                <w:rFonts w:ascii="Arial" w:hAnsi="Arial" w:cs="Arial"/>
              </w:rPr>
            </w:pPr>
            <w:r w:rsidRPr="00E12FBF">
              <w:rPr>
                <w:rFonts w:ascii="Arial" w:hAnsi="Arial" w:cs="Arial"/>
              </w:rPr>
              <w:t>troškove obrade miješanog komunalnog otpada</w:t>
            </w:r>
            <w:r>
              <w:rPr>
                <w:rFonts w:ascii="Arial" w:hAnsi="Arial" w:cs="Arial"/>
              </w:rPr>
              <w:t xml:space="preserve"> </w:t>
            </w:r>
            <w:r w:rsidRPr="00E12FBF">
              <w:rPr>
                <w:rFonts w:ascii="Arial" w:hAnsi="Arial" w:cs="Arial"/>
              </w:rPr>
              <w:t>i biootpada,</w:t>
            </w:r>
          </w:p>
          <w:p w:rsidR="008D0AE0" w:rsidRPr="00E12FBF" w:rsidRDefault="008D0AE0" w:rsidP="00ED7793">
            <w:pPr>
              <w:pStyle w:val="ListParagraph"/>
              <w:numPr>
                <w:ilvl w:val="0"/>
                <w:numId w:val="1"/>
              </w:numPr>
              <w:ind w:left="176" w:hanging="142"/>
              <w:jc w:val="both"/>
              <w:rPr>
                <w:rFonts w:ascii="Arial" w:hAnsi="Arial" w:cs="Arial"/>
              </w:rPr>
            </w:pPr>
            <w:r w:rsidRPr="00E12FBF">
              <w:rPr>
                <w:rFonts w:ascii="Arial" w:hAnsi="Arial" w:cs="Arial"/>
              </w:rPr>
              <w:t>troškove koji su nastali radom reciklažnog dvorišta i mobilnog reciklažnog dvorišta zaprimanjem bez naknade otpada nastalog u kućanstvu,</w:t>
            </w:r>
          </w:p>
          <w:p w:rsidR="008D0AE0" w:rsidRPr="00E12FBF" w:rsidRDefault="008D0AE0" w:rsidP="00ED7793">
            <w:pPr>
              <w:pStyle w:val="ListParagraph"/>
              <w:numPr>
                <w:ilvl w:val="0"/>
                <w:numId w:val="1"/>
              </w:numPr>
              <w:ind w:left="176" w:hanging="142"/>
              <w:jc w:val="both"/>
              <w:rPr>
                <w:rFonts w:ascii="Arial" w:hAnsi="Arial" w:cs="Arial"/>
              </w:rPr>
            </w:pPr>
            <w:r w:rsidRPr="00E12FBF">
              <w:rPr>
                <w:rFonts w:ascii="Arial" w:hAnsi="Arial" w:cs="Arial"/>
              </w:rPr>
              <w:t>troškove prijevoza i obrade glomaznog otpada koji se pr</w:t>
            </w:r>
            <w:r w:rsidR="00D1770C">
              <w:rPr>
                <w:rFonts w:ascii="Arial" w:hAnsi="Arial" w:cs="Arial"/>
              </w:rPr>
              <w:t xml:space="preserve">ikuplja u okviru javne usluge </w:t>
            </w:r>
          </w:p>
          <w:p w:rsidR="008D0AE0" w:rsidRPr="00E12FBF" w:rsidRDefault="008D0AE0" w:rsidP="00ED7793">
            <w:pPr>
              <w:pStyle w:val="ListParagraph"/>
              <w:numPr>
                <w:ilvl w:val="0"/>
                <w:numId w:val="1"/>
              </w:numPr>
              <w:ind w:left="176" w:hanging="142"/>
              <w:jc w:val="both"/>
              <w:rPr>
                <w:rFonts w:ascii="Arial" w:hAnsi="Arial" w:cs="Arial"/>
              </w:rPr>
            </w:pPr>
            <w:r w:rsidRPr="00E12FBF">
              <w:rPr>
                <w:rFonts w:ascii="Arial" w:hAnsi="Arial" w:cs="Arial"/>
              </w:rPr>
              <w:t>troškove vođenje propisanih evidencija i izvješćivanja u svezi s javnom uslugom.</w:t>
            </w:r>
          </w:p>
          <w:p w:rsidR="000D2338" w:rsidRDefault="008D0AE0" w:rsidP="002B603E">
            <w:pPr>
              <w:jc w:val="both"/>
              <w:rPr>
                <w:rFonts w:ascii="Arial" w:hAnsi="Arial" w:cs="Arial"/>
              </w:rPr>
            </w:pPr>
            <w:r>
              <w:rPr>
                <w:rFonts w:ascii="Arial" w:hAnsi="Arial" w:cs="Arial"/>
              </w:rPr>
              <w:t xml:space="preserve"> </w:t>
            </w:r>
          </w:p>
          <w:p w:rsidR="00590412" w:rsidRDefault="00D1770C" w:rsidP="00ED7793">
            <w:pPr>
              <w:pStyle w:val="ListParagraph"/>
              <w:ind w:left="176"/>
              <w:jc w:val="both"/>
              <w:rPr>
                <w:rFonts w:ascii="Arial" w:hAnsi="Arial" w:cs="Arial"/>
              </w:rPr>
            </w:pPr>
            <w:r>
              <w:rPr>
                <w:rFonts w:ascii="Arial" w:hAnsi="Arial" w:cs="Arial"/>
              </w:rPr>
              <w:t xml:space="preserve">Odlukom o načinu pružanja javne usluge definira se isključivo cijena obvezne </w:t>
            </w:r>
            <w:r>
              <w:rPr>
                <w:rFonts w:ascii="Arial" w:hAnsi="Arial" w:cs="Arial"/>
              </w:rPr>
              <w:lastRenderedPageBreak/>
              <w:t xml:space="preserve">minimalne javne usluge. </w:t>
            </w:r>
            <w:r w:rsidRPr="00D1770C">
              <w:rPr>
                <w:rFonts w:ascii="Arial" w:hAnsi="Arial" w:cs="Arial"/>
              </w:rPr>
              <w:t xml:space="preserve">Cijena za količinu predanog otpada definira se cjenikom davatelja usluge kojeg je isti dužan donijeti u roku od tri mjeseca od  dana donošenja Odluke o načinu pružanja javne usluge. Cjenikom davatelja usluge </w:t>
            </w:r>
            <w:r>
              <w:rPr>
                <w:rFonts w:ascii="Arial" w:hAnsi="Arial" w:cs="Arial"/>
              </w:rPr>
              <w:t>definirat</w:t>
            </w:r>
            <w:r w:rsidRPr="00D1770C">
              <w:rPr>
                <w:rFonts w:ascii="Arial" w:hAnsi="Arial" w:cs="Arial"/>
              </w:rPr>
              <w:t xml:space="preserve"> će se jedinična cijena za preuzimanje volumena spremnika miješanoga komunalnoga otpada.</w:t>
            </w:r>
            <w:r w:rsidR="00617516">
              <w:rPr>
                <w:rFonts w:ascii="Arial" w:hAnsi="Arial" w:cs="Arial"/>
              </w:rPr>
              <w:t xml:space="preserve"> Cjenik donosi davatelj javne usluge u skladu s člankom 77. Zakona o gospodarenju otpadom, a koji uključuje i prethodno javno savjetovanje.  </w:t>
            </w:r>
          </w:p>
          <w:p w:rsidR="00590412" w:rsidRDefault="00590412" w:rsidP="002B603E">
            <w:pPr>
              <w:jc w:val="both"/>
              <w:rPr>
                <w:rFonts w:ascii="Arial" w:hAnsi="Arial" w:cs="Arial"/>
              </w:rPr>
            </w:pPr>
          </w:p>
          <w:p w:rsidR="00590412" w:rsidRDefault="00590412" w:rsidP="002B603E">
            <w:pPr>
              <w:jc w:val="both"/>
              <w:rPr>
                <w:rFonts w:ascii="Arial" w:hAnsi="Arial" w:cs="Arial"/>
              </w:rPr>
            </w:pPr>
          </w:p>
          <w:p w:rsidR="00590412" w:rsidRDefault="000E7302" w:rsidP="002B603E">
            <w:pPr>
              <w:jc w:val="both"/>
              <w:rPr>
                <w:rFonts w:ascii="Arial" w:hAnsi="Arial" w:cs="Arial"/>
              </w:rPr>
            </w:pPr>
            <w:r>
              <w:rPr>
                <w:rFonts w:ascii="Arial" w:hAnsi="Arial" w:cs="Arial"/>
              </w:rPr>
              <w:t xml:space="preserve">Za primjedbu vezano za volumen spremnika zatraženo očitovanje Čistoće do.o. koje prenosimo u cijelosti: </w:t>
            </w:r>
          </w:p>
          <w:p w:rsidR="00E903B9" w:rsidRPr="00607129" w:rsidRDefault="00607129" w:rsidP="00E903B9">
            <w:pPr>
              <w:jc w:val="both"/>
              <w:rPr>
                <w:rFonts w:ascii="Arial" w:hAnsi="Arial" w:cs="Arial"/>
                <w:i/>
              </w:rPr>
            </w:pPr>
            <w:r>
              <w:rPr>
                <w:rFonts w:ascii="Arial" w:hAnsi="Arial" w:cs="Arial"/>
              </w:rPr>
              <w:t>„</w:t>
            </w:r>
            <w:r w:rsidR="00E903B9" w:rsidRPr="00607129">
              <w:rPr>
                <w:rFonts w:ascii="Arial" w:hAnsi="Arial" w:cs="Arial"/>
                <w:i/>
              </w:rPr>
              <w:t xml:space="preserve">Spremnik zapremine 80 lit. za miješani komunalni otpad je svojevremeno uveden (samo na administrativnom području Grada Zadra) isključivo zbog gradacije cijene obvezne minimalne javne usluge (veći spremnik-veći račun, manji spremnik-manji račun). </w:t>
            </w:r>
          </w:p>
          <w:p w:rsidR="00E903B9" w:rsidRPr="00607129" w:rsidRDefault="00E903B9" w:rsidP="00E903B9">
            <w:pPr>
              <w:jc w:val="both"/>
              <w:rPr>
                <w:rFonts w:ascii="Arial" w:hAnsi="Arial" w:cs="Arial"/>
                <w:i/>
              </w:rPr>
            </w:pPr>
            <w:r w:rsidRPr="00607129">
              <w:rPr>
                <w:rFonts w:ascii="Arial" w:hAnsi="Arial" w:cs="Arial"/>
                <w:i/>
              </w:rPr>
              <w:t>Kako je razina cijene obvezne minimaln</w:t>
            </w:r>
            <w:r w:rsidR="000E7302">
              <w:rPr>
                <w:rFonts w:ascii="Arial" w:hAnsi="Arial" w:cs="Arial"/>
                <w:i/>
              </w:rPr>
              <w:t>e javne</w:t>
            </w:r>
            <w:r w:rsidRPr="00607129">
              <w:rPr>
                <w:rFonts w:ascii="Arial" w:hAnsi="Arial" w:cs="Arial"/>
                <w:i/>
              </w:rPr>
              <w:t xml:space="preserve"> uslug</w:t>
            </w:r>
            <w:r w:rsidR="000E7302">
              <w:rPr>
                <w:rFonts w:ascii="Arial" w:hAnsi="Arial" w:cs="Arial"/>
                <w:i/>
              </w:rPr>
              <w:t>e</w:t>
            </w:r>
            <w:r w:rsidRPr="00607129">
              <w:rPr>
                <w:rFonts w:ascii="Arial" w:hAnsi="Arial" w:cs="Arial"/>
                <w:i/>
              </w:rPr>
              <w:t xml:space="preserve"> po novom </w:t>
            </w:r>
            <w:r w:rsidR="000E7302">
              <w:rPr>
                <w:rFonts w:ascii="Arial" w:hAnsi="Arial" w:cs="Arial"/>
                <w:i/>
              </w:rPr>
              <w:t>Z</w:t>
            </w:r>
            <w:r w:rsidRPr="00607129">
              <w:rPr>
                <w:rFonts w:ascii="Arial" w:hAnsi="Arial" w:cs="Arial"/>
                <w:i/>
              </w:rPr>
              <w:t>akonu ista za sve, ostanak istog u uporabi, s te strane, nema smisla.</w:t>
            </w:r>
          </w:p>
          <w:p w:rsidR="00E903B9" w:rsidRPr="00607129" w:rsidRDefault="00E903B9" w:rsidP="00E903B9">
            <w:pPr>
              <w:jc w:val="both"/>
              <w:rPr>
                <w:rFonts w:ascii="Arial" w:hAnsi="Arial" w:cs="Arial"/>
                <w:i/>
              </w:rPr>
            </w:pPr>
            <w:r w:rsidRPr="00607129">
              <w:rPr>
                <w:rFonts w:ascii="Arial" w:hAnsi="Arial" w:cs="Arial"/>
                <w:i/>
              </w:rPr>
              <w:t xml:space="preserve">Nadalje, ekonomski gledano, cijena zbrinjavanja litre otpada iz manjeg spremnika je viša od cijene zbrinjavanja litre otpada iz većeg spremnika jer kamioni više puta moraju stajati, podizati i prazniti spremnik itd., čime se više troše gorivo, strojevi i ljudi. Osim što veća potrošnja goriva utječe na veću </w:t>
            </w:r>
            <w:r w:rsidRPr="00607129">
              <w:rPr>
                <w:rFonts w:ascii="Arial" w:hAnsi="Arial" w:cs="Arial"/>
                <w:i/>
              </w:rPr>
              <w:lastRenderedPageBreak/>
              <w:t>emisiju u okoliš, uz ostalo, u krajnjoj liniji poskupljuje cijenu usluge. Uvijek nam je bio cilj optimizirati troškove kako bi krajnji korisnici usluga morali što manje platiti, a pogotovo ako je to povezano s</w:t>
            </w:r>
            <w:r w:rsidR="000E7302">
              <w:rPr>
                <w:rFonts w:ascii="Arial" w:hAnsi="Arial" w:cs="Arial"/>
                <w:i/>
              </w:rPr>
              <w:t>a</w:t>
            </w:r>
            <w:r w:rsidRPr="00607129">
              <w:rPr>
                <w:rFonts w:ascii="Arial" w:hAnsi="Arial" w:cs="Arial"/>
                <w:i/>
              </w:rPr>
              <w:t xml:space="preserve"> zaštitom okoliša. </w:t>
            </w:r>
          </w:p>
          <w:p w:rsidR="00590412" w:rsidRDefault="00E903B9" w:rsidP="002B603E">
            <w:pPr>
              <w:jc w:val="both"/>
              <w:rPr>
                <w:rFonts w:ascii="Arial" w:hAnsi="Arial" w:cs="Arial"/>
              </w:rPr>
            </w:pPr>
            <w:r w:rsidRPr="00607129">
              <w:rPr>
                <w:rFonts w:ascii="Arial" w:hAnsi="Arial" w:cs="Arial"/>
                <w:i/>
              </w:rPr>
              <w:t>Slijedom navedenoga, smatramo da spremnici 120, 240 i 1100 litara za MKO optimalno zadovoljavaju sve potrebe</w:t>
            </w:r>
            <w:r w:rsidRPr="00E903B9">
              <w:rPr>
                <w:rFonts w:ascii="Arial" w:hAnsi="Arial" w:cs="Arial"/>
              </w:rPr>
              <w:t>.</w:t>
            </w:r>
            <w:r w:rsidR="00607129">
              <w:rPr>
                <w:rFonts w:ascii="Arial" w:hAnsi="Arial" w:cs="Arial"/>
              </w:rPr>
              <w:t>“</w:t>
            </w:r>
          </w:p>
        </w:tc>
      </w:tr>
    </w:tbl>
    <w:p w:rsidR="009B2AFE" w:rsidRDefault="009B2AFE" w:rsidP="00E903B9">
      <w:pPr>
        <w:rPr>
          <w:rFonts w:ascii="Arial" w:hAnsi="Arial" w:cs="Arial"/>
          <w:b/>
          <w:sz w:val="24"/>
          <w:szCs w:val="24"/>
        </w:rPr>
      </w:pPr>
    </w:p>
    <w:p w:rsidR="00617516" w:rsidRPr="000E7302" w:rsidRDefault="00617516" w:rsidP="00E903B9">
      <w:pPr>
        <w:rPr>
          <w:rFonts w:ascii="Arial" w:hAnsi="Arial" w:cs="Arial"/>
          <w:sz w:val="20"/>
          <w:szCs w:val="20"/>
        </w:rPr>
      </w:pPr>
      <w:r w:rsidRPr="000E7302">
        <w:rPr>
          <w:rFonts w:ascii="Arial" w:hAnsi="Arial" w:cs="Arial"/>
          <w:sz w:val="20"/>
          <w:szCs w:val="20"/>
        </w:rPr>
        <w:t>Prilog:</w:t>
      </w:r>
      <w:r w:rsidR="000E7302">
        <w:rPr>
          <w:rFonts w:ascii="Arial" w:hAnsi="Arial" w:cs="Arial"/>
          <w:sz w:val="20"/>
          <w:szCs w:val="20"/>
        </w:rPr>
        <w:t xml:space="preserve"> </w:t>
      </w:r>
      <w:r w:rsidRPr="000E7302">
        <w:rPr>
          <w:rFonts w:ascii="Arial" w:hAnsi="Arial" w:cs="Arial"/>
          <w:sz w:val="20"/>
          <w:szCs w:val="20"/>
        </w:rPr>
        <w:t>Očitovanje Ministarstva gospodarstva i održivog razvoja</w:t>
      </w:r>
    </w:p>
    <w:sectPr w:rsidR="00617516" w:rsidRPr="000E7302" w:rsidSect="009B2AF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BBF"/>
    <w:multiLevelType w:val="hybridMultilevel"/>
    <w:tmpl w:val="38162B3A"/>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AFE"/>
    <w:rsid w:val="00006054"/>
    <w:rsid w:val="000D2338"/>
    <w:rsid w:val="000E7302"/>
    <w:rsid w:val="002B603E"/>
    <w:rsid w:val="003967F9"/>
    <w:rsid w:val="003C178C"/>
    <w:rsid w:val="004851BD"/>
    <w:rsid w:val="00581848"/>
    <w:rsid w:val="00590412"/>
    <w:rsid w:val="005F164E"/>
    <w:rsid w:val="006003A4"/>
    <w:rsid w:val="00607129"/>
    <w:rsid w:val="00613D21"/>
    <w:rsid w:val="00617516"/>
    <w:rsid w:val="006B22BA"/>
    <w:rsid w:val="008D0AE0"/>
    <w:rsid w:val="009447F5"/>
    <w:rsid w:val="00963067"/>
    <w:rsid w:val="009B2AFE"/>
    <w:rsid w:val="00A80023"/>
    <w:rsid w:val="00D1770C"/>
    <w:rsid w:val="00DE31F0"/>
    <w:rsid w:val="00E35452"/>
    <w:rsid w:val="00E903B9"/>
    <w:rsid w:val="00ED7793"/>
    <w:rsid w:val="00F718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2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338"/>
    <w:rPr>
      <w:rFonts w:ascii="Segoe UI" w:hAnsi="Segoe UI" w:cs="Segoe UI"/>
      <w:sz w:val="18"/>
      <w:szCs w:val="18"/>
    </w:rPr>
  </w:style>
  <w:style w:type="paragraph" w:styleId="ListParagraph">
    <w:name w:val="List Paragraph"/>
    <w:basedOn w:val="Normal"/>
    <w:uiPriority w:val="34"/>
    <w:qFormat/>
    <w:rsid w:val="008D0A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2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338"/>
    <w:rPr>
      <w:rFonts w:ascii="Segoe UI" w:hAnsi="Segoe UI" w:cs="Segoe UI"/>
      <w:sz w:val="18"/>
      <w:szCs w:val="18"/>
    </w:rPr>
  </w:style>
  <w:style w:type="paragraph" w:styleId="ListParagraph">
    <w:name w:val="List Paragraph"/>
    <w:basedOn w:val="Normal"/>
    <w:uiPriority w:val="34"/>
    <w:qFormat/>
    <w:rsid w:val="008D0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5</Pages>
  <Words>1570</Words>
  <Characters>8949</Characters>
  <Application>Microsoft Office Word</Application>
  <DocSecurity>0</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Klarić</dc:creator>
  <cp:keywords/>
  <dc:description/>
  <cp:lastModifiedBy>Jasmina Plecić</cp:lastModifiedBy>
  <cp:revision>10</cp:revision>
  <cp:lastPrinted>2022-07-07T08:24:00Z</cp:lastPrinted>
  <dcterms:created xsi:type="dcterms:W3CDTF">2022-06-09T11:10:00Z</dcterms:created>
  <dcterms:modified xsi:type="dcterms:W3CDTF">2022-07-15T08:24:00Z</dcterms:modified>
</cp:coreProperties>
</file>